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9631A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D614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4F7857" w:rsidRDefault="004F7857" w:rsidP="009631A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5653DE" w:rsidP="009631A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9631A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9631A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4F7857" w:rsidRDefault="004F7857" w:rsidP="009631A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9631A8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9631A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29.12.2</w:t>
      </w:r>
      <w:bookmarkStart w:id="1" w:name="_GoBack"/>
      <w:bookmarkEnd w:id="1"/>
      <w:r w:rsidR="009631A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023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9631A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182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4F7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A047B5">
        <w:rPr>
          <w:rFonts w:ascii="Times New Roman" w:hAnsi="Times New Roman" w:cs="Times New Roman"/>
          <w:b/>
          <w:bCs/>
          <w:sz w:val="28"/>
          <w:szCs w:val="28"/>
        </w:rPr>
        <w:t>Новолодский сосновый бор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60CE" w:rsidRPr="00534563" w:rsidRDefault="008060CE" w:rsidP="005653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7857" w:rsidRPr="005653DE" w:rsidRDefault="004F7857" w:rsidP="005653DE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5653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7857" w:rsidRPr="004F7857" w:rsidRDefault="004F7857" w:rsidP="005653D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653DE" w:rsidRDefault="005653DE" w:rsidP="005653DE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Pr="00A047B5">
        <w:rPr>
          <w:rFonts w:ascii="Times New Roman" w:hAnsi="Times New Roman" w:cs="Times New Roman"/>
          <w:sz w:val="28"/>
          <w:szCs w:val="28"/>
        </w:rPr>
        <w:t>Новолодский сосновый бор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Pr="00A047B5">
        <w:rPr>
          <w:rFonts w:ascii="Times New Roman" w:hAnsi="Times New Roman" w:cs="Times New Roman"/>
          <w:sz w:val="28"/>
          <w:szCs w:val="28"/>
        </w:rPr>
        <w:t>Новолодский сосновый бор</w:t>
      </w:r>
      <w:r w:rsidRPr="00E363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5653DE" w:rsidRDefault="005653DE" w:rsidP="005653DE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без изъятия земельных участков у правообладателей земельных участков. </w:t>
      </w:r>
    </w:p>
    <w:p w:rsidR="005653DE" w:rsidRPr="00F03E64" w:rsidRDefault="005653DE" w:rsidP="005653DE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03E64">
        <w:rPr>
          <w:rFonts w:ascii="Times New Roman" w:hAnsi="Times New Roman" w:cs="Times New Roman"/>
          <w:spacing w:val="-4"/>
          <w:sz w:val="28"/>
          <w:szCs w:val="28"/>
        </w:rPr>
        <w:t>Охранная зона состоит из двух контуров. Общая площадь охранной зоны составляет 32,19 г</w:t>
      </w:r>
      <w:r w:rsidR="00F03E64" w:rsidRPr="00F03E64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Pr="00F03E64">
        <w:rPr>
          <w:rFonts w:ascii="Times New Roman" w:hAnsi="Times New Roman" w:cs="Times New Roman"/>
          <w:spacing w:val="-4"/>
          <w:sz w:val="28"/>
          <w:szCs w:val="28"/>
        </w:rPr>
        <w:t>а. Общая площадь территории, занимаемая памятником природы и его охранной зоной, составляет 504,32 г</w:t>
      </w:r>
      <w:r w:rsidR="00F03E64" w:rsidRPr="00F03E64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Pr="00F03E64">
        <w:rPr>
          <w:rFonts w:ascii="Times New Roman" w:hAnsi="Times New Roman" w:cs="Times New Roman"/>
          <w:spacing w:val="-4"/>
          <w:sz w:val="28"/>
          <w:szCs w:val="28"/>
        </w:rPr>
        <w:t>а.</w:t>
      </w:r>
    </w:p>
    <w:p w:rsidR="005653DE" w:rsidRPr="00E363DD" w:rsidRDefault="005653DE" w:rsidP="005653DE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5653DE" w:rsidRDefault="005653DE" w:rsidP="005653DE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5653DE" w:rsidRPr="005653DE" w:rsidRDefault="005653DE" w:rsidP="005653DE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3DE">
        <w:rPr>
          <w:rFonts w:ascii="Times New Roman" w:hAnsi="Times New Roman" w:cs="Times New Roman"/>
          <w:sz w:val="28"/>
          <w:szCs w:val="28"/>
        </w:rPr>
        <w:lastRenderedPageBreak/>
        <w:t>Расходы по обеспечению установленного режима охраны и использования территории в границах охранной зоны (далее – режим охранной зоны)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5653DE" w:rsidRPr="00B04B49" w:rsidRDefault="005653DE" w:rsidP="005653DE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все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:rsidR="004F7857" w:rsidRPr="005653DE" w:rsidRDefault="004F7857" w:rsidP="005653D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5653DE" w:rsidRDefault="004F7857" w:rsidP="005653DE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53DE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5653DE" w:rsidRDefault="004F7857" w:rsidP="005653DE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53DE" w:rsidRPr="00E363DD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</w:t>
      </w:r>
      <w:r>
        <w:rPr>
          <w:rFonts w:ascii="Times New Roman" w:hAnsi="Times New Roman" w:cs="Times New Roman"/>
          <w:sz w:val="28"/>
          <w:szCs w:val="28"/>
        </w:rPr>
        <w:t>е сохранности памятника природы.</w:t>
      </w:r>
    </w:p>
    <w:p w:rsidR="005653DE" w:rsidRPr="00E363DD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5653DE" w:rsidRPr="00FD3FCB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5653DE" w:rsidRPr="00FD3FCB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5653DE" w:rsidRPr="00FD3FCB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5653DE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5653DE" w:rsidRPr="00FD3FCB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5653DE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5653DE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 w:rsidR="00F03E64">
        <w:rPr>
          <w:rFonts w:ascii="Times New Roman" w:hAnsi="Times New Roman" w:cs="Times New Roman"/>
          <w:sz w:val="28"/>
          <w:szCs w:val="28"/>
        </w:rPr>
        <w:t>, а также их мест обитания 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3DE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5653DE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5653DE" w:rsidRPr="00FD3FCB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электропередач, линий связи, дорог, трубопроводов и других линейных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3DE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5653DE" w:rsidRDefault="005653DE" w:rsidP="005653D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DE" w:rsidRPr="00074E10" w:rsidRDefault="005653DE" w:rsidP="005653DE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5653DE" w:rsidRPr="00E363DD" w:rsidRDefault="005653DE" w:rsidP="005653D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DE" w:rsidRPr="00E363DD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63DD">
        <w:rPr>
          <w:rFonts w:ascii="Times New Roman" w:hAnsi="Times New Roman" w:cs="Times New Roman"/>
          <w:sz w:val="28"/>
          <w:szCs w:val="28"/>
        </w:rPr>
        <w:t>На т</w:t>
      </w:r>
      <w:r w:rsidR="00F03E64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5653DE" w:rsidRPr="008D2595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5653DE" w:rsidRPr="008D2595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5653DE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3DE" w:rsidRPr="00FD4AFA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5653DE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5653DE" w:rsidRPr="00FD4AFA" w:rsidRDefault="005653DE" w:rsidP="005653DE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5653DE" w:rsidRPr="00E363DD" w:rsidRDefault="005653DE" w:rsidP="005653D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3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8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84874">
        <w:rPr>
          <w:rFonts w:ascii="Times New Roman" w:hAnsi="Times New Roman" w:cs="Times New Roman"/>
          <w:sz w:val="28"/>
          <w:szCs w:val="28"/>
        </w:rPr>
        <w:t xml:space="preserve"> </w:t>
      </w:r>
      <w:r w:rsidRPr="00F84874">
        <w:rPr>
          <w:rFonts w:ascii="Times New Roman" w:hAnsi="Times New Roman" w:cs="Times New Roman"/>
          <w:sz w:val="28"/>
          <w:szCs w:val="28"/>
        </w:rPr>
        <w:lastRenderedPageBreak/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09.12.2020 № 2047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653DE" w:rsidRPr="00E363DD" w:rsidRDefault="005653DE" w:rsidP="005653DE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5653DE" w:rsidRPr="00FD4AFA" w:rsidRDefault="005653DE" w:rsidP="005653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53DE" w:rsidRPr="00FD4AFA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5653DE" w:rsidRPr="00FD4AFA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5653DE" w:rsidRPr="005D48C1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5653DE" w:rsidRPr="00FD4AFA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F03E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653DE" w:rsidRPr="00904A27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5653DE" w:rsidRPr="00FD4AFA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5653DE" w:rsidRPr="00FD4AFA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:rsidR="005653DE" w:rsidRPr="00FD4AFA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5653DE" w:rsidRPr="005D48C1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5653DE" w:rsidRPr="00FD4AFA" w:rsidRDefault="005653DE" w:rsidP="00565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5653DE" w:rsidRPr="00D211EE" w:rsidRDefault="005653DE" w:rsidP="005653DE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E666C" w:rsidRPr="00DE666C" w:rsidRDefault="00DE666C" w:rsidP="005653D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666C" w:rsidRPr="00DE666C" w:rsidSect="00F03E64">
      <w:head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56" w:rsidRDefault="00AC7856" w:rsidP="00F03E64">
      <w:pPr>
        <w:spacing w:after="0" w:line="240" w:lineRule="auto"/>
      </w:pPr>
      <w:r>
        <w:separator/>
      </w:r>
    </w:p>
  </w:endnote>
  <w:endnote w:type="continuationSeparator" w:id="0">
    <w:p w:rsidR="00AC7856" w:rsidRDefault="00AC7856" w:rsidP="00F0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56" w:rsidRDefault="00AC7856" w:rsidP="00F03E64">
      <w:pPr>
        <w:spacing w:after="0" w:line="240" w:lineRule="auto"/>
      </w:pPr>
      <w:r>
        <w:separator/>
      </w:r>
    </w:p>
  </w:footnote>
  <w:footnote w:type="continuationSeparator" w:id="0">
    <w:p w:rsidR="00AC7856" w:rsidRDefault="00AC7856" w:rsidP="00F0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735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3E64" w:rsidRPr="00F03E64" w:rsidRDefault="00F03E6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3E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3E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3E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1A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03E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3E64" w:rsidRDefault="00F03E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160F11"/>
    <w:rsid w:val="001F6C6F"/>
    <w:rsid w:val="00215904"/>
    <w:rsid w:val="003C4703"/>
    <w:rsid w:val="00467AD0"/>
    <w:rsid w:val="004F7857"/>
    <w:rsid w:val="005120FE"/>
    <w:rsid w:val="0051321E"/>
    <w:rsid w:val="00534563"/>
    <w:rsid w:val="005653DE"/>
    <w:rsid w:val="005809DE"/>
    <w:rsid w:val="005C5AE0"/>
    <w:rsid w:val="005E3A7C"/>
    <w:rsid w:val="00677B5B"/>
    <w:rsid w:val="007F752D"/>
    <w:rsid w:val="008060CE"/>
    <w:rsid w:val="008A4C4D"/>
    <w:rsid w:val="009631A8"/>
    <w:rsid w:val="00A047B5"/>
    <w:rsid w:val="00AC7856"/>
    <w:rsid w:val="00B777FB"/>
    <w:rsid w:val="00D11566"/>
    <w:rsid w:val="00D211EE"/>
    <w:rsid w:val="00D61477"/>
    <w:rsid w:val="00DE666C"/>
    <w:rsid w:val="00E363DD"/>
    <w:rsid w:val="00EA7931"/>
    <w:rsid w:val="00F0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8BB1B-D4DE-43B7-8E5A-FF4547D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0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E64"/>
  </w:style>
  <w:style w:type="paragraph" w:styleId="a5">
    <w:name w:val="footer"/>
    <w:basedOn w:val="a"/>
    <w:link w:val="a6"/>
    <w:uiPriority w:val="99"/>
    <w:unhideWhenUsed/>
    <w:rsid w:val="00F0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7</cp:revision>
  <dcterms:created xsi:type="dcterms:W3CDTF">2023-02-02T12:31:00Z</dcterms:created>
  <dcterms:modified xsi:type="dcterms:W3CDTF">2024-01-09T11:45:00Z</dcterms:modified>
</cp:coreProperties>
</file>